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Teil 2 V0.3</w:t>
      </w:r>
    </w:p>
    <w:p w:rsidR="00000000" w:rsidDel="00000000" w:rsidP="00000000" w:rsidRDefault="00000000" w:rsidRPr="00000000" w14:paraId="00000002">
      <w:pPr>
        <w:pStyle w:val="Title"/>
        <w:spacing w:after="240" w:before="240" w:lineRule="auto"/>
        <w:rPr/>
      </w:pPr>
      <w:bookmarkStart w:colFirst="0" w:colLast="0" w:name="_tvhyegwg9x3t" w:id="0"/>
      <w:bookmarkEnd w:id="0"/>
      <w:r w:rsidDel="00000000" w:rsidR="00000000" w:rsidRPr="00000000">
        <w:rPr>
          <w:rtl w:val="0"/>
        </w:rPr>
        <w:t xml:space="preserve">Teil II: Theoretische Begründung: Wie und warum funktioniert Prime Flow?</w:t>
      </w:r>
    </w:p>
    <w:p w:rsidR="00000000" w:rsidDel="00000000" w:rsidP="00000000" w:rsidRDefault="00000000" w:rsidRPr="00000000" w14:paraId="00000003">
      <w:pPr>
        <w:spacing w:after="240" w:before="240" w:lineRule="auto"/>
        <w:jc w:val="center"/>
        <w:rPr>
          <w:sz w:val="26"/>
          <w:szCs w:val="26"/>
        </w:rPr>
      </w:pPr>
      <w:r w:rsidDel="00000000" w:rsidR="00000000" w:rsidRPr="00000000">
        <w:rPr>
          <w:sz w:val="26"/>
          <w:szCs w:val="26"/>
          <w:rtl w:val="0"/>
        </w:rPr>
        <w:t xml:space="preserve">„Under pressure, you don’t rise to the occasion.</w:t>
        <w:br w:type="textWrapping"/>
        <w:t xml:space="preserve"> You sink to your level of training.“</w:t>
      </w:r>
    </w:p>
    <w:p w:rsidR="00000000" w:rsidDel="00000000" w:rsidP="00000000" w:rsidRDefault="00000000" w:rsidRPr="00000000" w14:paraId="00000004">
      <w:pPr>
        <w:spacing w:after="240" w:before="240" w:lineRule="auto"/>
        <w:jc w:val="center"/>
        <w:rPr>
          <w:sz w:val="12"/>
          <w:szCs w:val="12"/>
        </w:rPr>
      </w:pPr>
      <w:r w:rsidDel="00000000" w:rsidR="00000000" w:rsidRPr="00000000">
        <w:rPr>
          <w:sz w:val="12"/>
          <w:szCs w:val="12"/>
          <w:rtl w:val="0"/>
        </w:rPr>
        <w:t xml:space="preserve">„Unter Druck wächst man nicht über sich hinaus. Man fällt auf das Niveau seines Trainings zurück.“</w:t>
      </w:r>
    </w:p>
    <w:p w:rsidR="00000000" w:rsidDel="00000000" w:rsidP="00000000" w:rsidRDefault="00000000" w:rsidRPr="00000000" w14:paraId="00000005">
      <w:pPr>
        <w:keepNext w:val="0"/>
        <w:keepLines w:val="0"/>
        <w:spacing w:after="80" w:lineRule="auto"/>
        <w:jc w:val="center"/>
        <w:rPr>
          <w:sz w:val="26"/>
          <w:szCs w:val="26"/>
        </w:rPr>
      </w:pPr>
      <w:r w:rsidDel="00000000" w:rsidR="00000000" w:rsidRPr="00000000">
        <w:rPr>
          <w:sz w:val="26"/>
          <w:szCs w:val="26"/>
          <w:rtl w:val="0"/>
        </w:rPr>
        <w:t xml:space="preserve">Michael Jordan</w:t>
      </w:r>
    </w:p>
    <w:p w:rsidR="00000000" w:rsidDel="00000000" w:rsidP="00000000" w:rsidRDefault="00000000" w:rsidRPr="00000000" w14:paraId="00000006">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07">
      <w:pPr>
        <w:keepNext w:val="0"/>
        <w:keepLines w:val="0"/>
        <w:spacing w:after="80" w:lineRule="auto"/>
        <w:jc w:val="center"/>
        <w:rPr>
          <w:sz w:val="26"/>
          <w:szCs w:val="26"/>
        </w:rPr>
      </w:pPr>
      <w:r w:rsidDel="00000000" w:rsidR="00000000" w:rsidRPr="00000000">
        <w:rPr>
          <w:sz w:val="26"/>
          <w:szCs w:val="26"/>
          <w:rtl w:val="0"/>
        </w:rPr>
        <w:t xml:space="preserve">„I’ve learned to trust the work, not the moment.“</w:t>
      </w:r>
    </w:p>
    <w:p w:rsidR="00000000" w:rsidDel="00000000" w:rsidP="00000000" w:rsidRDefault="00000000" w:rsidRPr="00000000" w14:paraId="00000008">
      <w:pPr>
        <w:keepNext w:val="0"/>
        <w:keepLines w:val="0"/>
        <w:spacing w:after="80" w:lineRule="auto"/>
        <w:jc w:val="center"/>
        <w:rPr>
          <w:sz w:val="12"/>
          <w:szCs w:val="12"/>
        </w:rPr>
      </w:pPr>
      <w:r w:rsidDel="00000000" w:rsidR="00000000" w:rsidRPr="00000000">
        <w:rPr>
          <w:sz w:val="12"/>
          <w:szCs w:val="12"/>
          <w:rtl w:val="0"/>
        </w:rPr>
        <w:t xml:space="preserve">„Ich habe gelernt, der Arbeit zu vertrauen – nicht dem Moment.“</w:t>
      </w:r>
    </w:p>
    <w:p w:rsidR="00000000" w:rsidDel="00000000" w:rsidP="00000000" w:rsidRDefault="00000000" w:rsidRPr="00000000" w14:paraId="00000009">
      <w:pPr>
        <w:keepNext w:val="0"/>
        <w:keepLines w:val="0"/>
        <w:spacing w:after="80" w:lineRule="auto"/>
        <w:jc w:val="center"/>
        <w:rPr>
          <w:sz w:val="26"/>
          <w:szCs w:val="26"/>
        </w:rPr>
      </w:pPr>
      <w:r w:rsidDel="00000000" w:rsidR="00000000" w:rsidRPr="00000000">
        <w:rPr>
          <w:sz w:val="26"/>
          <w:szCs w:val="26"/>
          <w:rtl w:val="0"/>
        </w:rPr>
        <w:t xml:space="preserve">Serena Williams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keepNext w:val="0"/>
        <w:keepLines w:val="0"/>
        <w:spacing w:before="280" w:lineRule="auto"/>
        <w:rPr>
          <w:b w:val="1"/>
          <w:bCs w:val="1"/>
          <w:sz w:val="26"/>
          <w:szCs w:val="26"/>
        </w:rPr>
      </w:pPr>
      <w:bookmarkStart w:colFirst="0" w:colLast="0" w:name="_l72bnsx9gpgg" w:id="1"/>
      <w:bookmarkEnd w:id="1"/>
      <w:r w:rsidDel="00000000" w:rsidR="00000000" w:rsidRPr="00000000">
        <w:rPr>
          <w:rtl w:val="0"/>
        </w:rPr>
        <w:t xml:space="preserve">Kapitel 8: Von der Suche nach Schlüsselfaktoren der Performanz zur Prime-Flow-Trainingsarchitektur</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Im ersten Teil dieses Buches wurde die Wirkweise von Prime Flow im Feld des Spitzensports entfaltet. Anhand zahlreicher Szenen und Analysen wurde sichtbar, wie Spitzensportler:innen Training, Vorbereitung und Wettkampf so aufeinander abstimmen, dass sie in Schlüsselmomenten auf eingeübte Routinen zugreifen und sie an die jeweiligen Wettkampfanforderungen anpassen können. Prime Flow bezeichnet jenen erlebten Zustand, in dem alles zusammenpasst: Haltung, Fokus und Körperspannung stimmen, und die erworbenen Fähigkeiten lassen sich zuverlässig und zur jeweiligen Anforderung passend mit einem Gefühl von Leichtigkeit abrufen.</w:t>
      </w:r>
    </w:p>
    <w:p w:rsidR="00000000" w:rsidDel="00000000" w:rsidP="00000000" w:rsidRDefault="00000000" w:rsidRPr="00000000" w14:paraId="0000000D">
      <w:pPr>
        <w:spacing w:after="240" w:before="240" w:lineRule="auto"/>
        <w:rPr/>
      </w:pPr>
      <w:r w:rsidDel="00000000" w:rsidR="00000000" w:rsidRPr="00000000">
        <w:rPr>
          <w:rtl w:val="0"/>
        </w:rPr>
        <w:t xml:space="preserve">Die Beispiele des ersten Teils stammen überwiegend aus dem Spitzensport. Die zugrunde liegenden Fragen reichen weit darüber hinaus. Sie stellen sich überall dort, wo Menschen vor anderen leisten, entscheiden und auftreten: in Führungsaufgaben, in Beratung und Coaching, in Unterricht und Hochschullehre, in der Medizin, in künstlerischen Berufen und in vielen weiteren professionellen Kontexten. Überall geht es darum, vorbereitetes Können unter realen Bedingungen verfügbar zu haben und es so einzusetzen, dass es zur jeweiligen Situation passt.</w:t>
      </w:r>
    </w:p>
    <w:p w:rsidR="00000000" w:rsidDel="00000000" w:rsidP="00000000" w:rsidRDefault="00000000" w:rsidRPr="00000000" w14:paraId="0000000E">
      <w:pPr>
        <w:spacing w:after="240" w:before="240" w:lineRule="auto"/>
        <w:rPr/>
      </w:pPr>
      <w:r w:rsidDel="00000000" w:rsidR="00000000" w:rsidRPr="00000000">
        <w:rPr>
          <w:rtl w:val="0"/>
        </w:rPr>
        <w:t xml:space="preserve">Wer Teil I gelesen hat, kennt die zentralen Bausteine von Prime Flow und hat an den Beispielen aus dem Spitzensport gesehen, wie sie im Zusammenspiel wirken können. Die Grundbegriffe sind eingeführt, die Flow-Trias ist skizziert, erste Hinweise auf robuste Performanz sind angedeutet, die Bilder sind gesetzt. Auf dieser Basis lässt sich mit dem Modell arbeiten – im eigenen Berufsfeld, in der Reflexion von Lernwegen, in der Vorbereitung anspruchsvoller Situationen.</w:t>
      </w:r>
    </w:p>
    <w:p w:rsidR="00000000" w:rsidDel="00000000" w:rsidP="00000000" w:rsidRDefault="00000000" w:rsidRPr="00000000" w14:paraId="0000000F">
      <w:pPr>
        <w:spacing w:after="240" w:before="240" w:lineRule="auto"/>
        <w:rPr/>
      </w:pPr>
      <w:r w:rsidDel="00000000" w:rsidR="00000000" w:rsidRPr="00000000">
        <w:rPr>
          <w:rtl w:val="0"/>
        </w:rPr>
        <w:t xml:space="preserve">Teil II öffnet nun die Perspektive auf die Hintergründe dieses Modells. Im Mittelpunkt stehen die Fragen, aus denen Prime Flow entstanden ist, die Forschungslinien, an die es anschliesst, und die empirischen Beobachtungen, aus denen sich seine Architektur entwickelt hat. Dieser Teil richtet sich an Leser:innen, die genauer verstehen möchten, worauf sich das Modell stützt, wie es seine Begriffe gewinnt und wie es in die bestehende Performanz- und Professionalisierungsforschung eingebettet ist. Wer nach Teil I direkt mit Anwendungen weiterarbeiten möchte, findet diese in Teil III; wer den theoretischen Unterbau kennenlernen will, ist in Teil II am richtigen Ort.</w:t>
      </w:r>
    </w:p>
    <w:p w:rsidR="00000000" w:rsidDel="00000000" w:rsidP="00000000" w:rsidRDefault="00000000" w:rsidRPr="00000000" w14:paraId="00000010">
      <w:pPr>
        <w:spacing w:after="240" w:before="240" w:lineRule="auto"/>
        <w:rPr/>
      </w:pPr>
      <w:r w:rsidDel="00000000" w:rsidR="00000000" w:rsidRPr="00000000">
        <w:rPr>
          <w:rtl w:val="0"/>
        </w:rPr>
        <w:t xml:space="preserve">Fragen rund um Performanz und Könnensabruf haben in den vergangenen Jahrzehnten eine breite Forschungslandschaft entstehen lassen. Psychologie, Sportpsychologie, Pädagogik und Professionsforschung untersuchen, wie sich Können aufbaut, wie Üben wirkt, welche Rolle Motivation und Emotionen spielen, wie Aufmerksamkeit gesteuert wird und unter welchen Bedingungen Menschen in anspruchsvollen Situationen handlungsfähig bleiben. Zahlreiche Studien befassen sich mit Expertise, mit Flow-Erleben, mit Selbstregulation und mit professioneller Entwicklung. Vieles davon ergänzt sich, manches steht nebeneinander, je nach Setting, Methodik und theoretischem Zugang.</w:t>
      </w:r>
    </w:p>
    <w:p w:rsidR="00000000" w:rsidDel="00000000" w:rsidP="00000000" w:rsidRDefault="00000000" w:rsidRPr="00000000" w14:paraId="00000011">
      <w:pPr>
        <w:spacing w:after="240" w:before="240" w:lineRule="auto"/>
        <w:rPr/>
      </w:pPr>
      <w:r w:rsidDel="00000000" w:rsidR="00000000" w:rsidRPr="00000000">
        <w:rPr>
          <w:rtl w:val="0"/>
        </w:rPr>
        <w:t xml:space="preserve">In diesem zweiten Teil werden die wichtigsten Linien dieser Performanzforschung aufgenommen. Im Blick steht, was heute als gut gesichert gilt, wo sich Spannungen oder unterschiedliche Lesarten zeigen und welche Fragen offenbleiben, wenn es um die Fähigkeit geht, erworbenes Können über verschiedene Situationen hinweg verlässlich abzurufen. Damit rückt eine Form von Leistungsfähigkeit ins Zentrum, die über einzelne Höhepunkte hinausgeht. Gemeint ist eine Qualität des Handelns, bei der Fähigkeiten nicht nur vorhanden sind, sondern in entscheidenden Momenten zur Verfügung stehen und an konkrete Aufgaben angepasst werden können, ohne dass das Ganze innerlich auseinanderfällt. Wo dieser Aspekt im Vordergrund steht, sprechen wir im weiteren Verlauf von robuster Performanz.</w:t>
      </w:r>
    </w:p>
    <w:p w:rsidR="00000000" w:rsidDel="00000000" w:rsidP="00000000" w:rsidRDefault="00000000" w:rsidRPr="00000000" w14:paraId="00000012">
      <w:pPr>
        <w:spacing w:after="240" w:before="240" w:lineRule="auto"/>
        <w:rPr/>
      </w:pPr>
      <w:r w:rsidDel="00000000" w:rsidR="00000000" w:rsidRPr="00000000">
        <w:rPr>
          <w:rtl w:val="0"/>
        </w:rPr>
        <w:t xml:space="preserve">Um dieses Bild zu schärfen, stützt sich Teil II auf zwei Quellen. Zum einen auf vorhandene Forschung, die aus verschiedenen Disziplinen Hinweise darauf liefert, wie Lernen, Üben, Entscheiden und Performen zusammenhängen. Zum anderen auf ein Korpus von Interviews mit Spitzensportlerinnen und Spitzensportlern, in denen sie ihre eigenen Wege zur Hochleistung beschreiben. Die Sekundäranalysen bündeln, was in der Literatur bereits sichtbar ist; die Interviews öffnen einen Blick in die Praxis, der hilft, diese Einsichten zu konkretisieren und an realen Verläufen zu prüfen.</w:t>
      </w:r>
    </w:p>
    <w:p w:rsidR="00000000" w:rsidDel="00000000" w:rsidP="00000000" w:rsidRDefault="00000000" w:rsidRPr="00000000" w14:paraId="00000013">
      <w:pPr>
        <w:spacing w:after="240" w:before="240" w:lineRule="auto"/>
        <w:rPr/>
      </w:pPr>
      <w:r w:rsidDel="00000000" w:rsidR="00000000" w:rsidRPr="00000000">
        <w:rPr>
          <w:rtl w:val="0"/>
        </w:rPr>
        <w:t xml:space="preserve">In den Gesprächen mit Athletinnen und Athleten stehen drei Themen immer wieder im Vordergrund. Sie erzählen, wie sie sich auf Leistungsmomente vorbereiten: wie sie Trainingszyklen planen, welche Routinen sie aufbauen, wie sie mit Drucksituationen im Training umgehen. Sie schildern, wie sie die Zustände erleben, in denen Leistung trägt: welche Formen von Wachheit, Anspannung oder Leichtigkeit für sie typisch sind, wenn es gut läuft. Und sie beschreiben, welche Muster sich im Rückblick durchziehen, wenn sie auf längere Phasen gelungener oder misslungener Performanz zurückschauen.</w:t>
      </w:r>
    </w:p>
    <w:p w:rsidR="00000000" w:rsidDel="00000000" w:rsidP="00000000" w:rsidRDefault="00000000" w:rsidRPr="00000000" w14:paraId="00000014">
      <w:pPr>
        <w:spacing w:after="240" w:before="240" w:lineRule="auto"/>
        <w:rPr/>
      </w:pPr>
      <w:r w:rsidDel="00000000" w:rsidR="00000000" w:rsidRPr="00000000">
        <w:rPr>
          <w:rtl w:val="0"/>
        </w:rPr>
        <w:t xml:space="preserve">Im Verlauf der theoretischen Recherche und der Auswertung der Interviews verdichtete sich ein Bündel von Fragen, das den weiteren Weg leitete. Im Zentrum stand die Suche nach Bedingungen, unter denen Menschen in anspruchsvollen Momenten auf ihre Fähigkeiten zugreifen können – und nach Faktoren, die diesen Zugriff erschweren oder verunmöglichen. Ebenso rückten jene Situationen in den Blick, in denen Leistung besonders trägt: Wie werden solche Momente erlebt? Woran machen Menschen fest, dass sie „drin“ sind, dass die Dinge laufen?</w:t>
      </w:r>
    </w:p>
    <w:p w:rsidR="00000000" w:rsidDel="00000000" w:rsidP="00000000" w:rsidRDefault="00000000" w:rsidRPr="00000000" w14:paraId="00000015">
      <w:pPr>
        <w:spacing w:after="240" w:before="240" w:lineRule="auto"/>
        <w:rPr/>
      </w:pPr>
      <w:r w:rsidDel="00000000" w:rsidR="00000000" w:rsidRPr="00000000">
        <w:rPr>
          <w:rtl w:val="0"/>
        </w:rPr>
        <w:t xml:space="preserve">Dazu kamen Fragen nach wiederkehrenden Mustern. Welche Formen von Aufmerksamkeit, Entscheidung und Handlung sind in solchen Situationen typisch? Was zeigen Athletinnen und Athleten in der Vorbereitung und im Moment des Abrufs – und welche Routinen, Haltungen und Fokussierungen kehren immer wieder? Und schliesslich die Frage, wie die Wege dorthin gestaltet werden: Welche Arten von Lernen, Üben und Trainieren scheinen entscheidend zu sein, damit Leistung im entscheidenden Moment verfügbar wird?</w:t>
      </w:r>
    </w:p>
    <w:p w:rsidR="00000000" w:rsidDel="00000000" w:rsidP="00000000" w:rsidRDefault="00000000" w:rsidRPr="00000000" w14:paraId="00000016">
      <w:pPr>
        <w:spacing w:after="240" w:before="240" w:lineRule="auto"/>
        <w:rPr/>
      </w:pPr>
      <w:r w:rsidDel="00000000" w:rsidR="00000000" w:rsidRPr="00000000">
        <w:rPr>
          <w:rtl w:val="0"/>
        </w:rPr>
        <w:t xml:space="preserve">Aus der Verschränkung dieser Perspektiven entsteht im zweiten Teil schrittweise eine Architektur, die Performanz nicht nur als Ergebnis, sondern als Gefüge von Prozessen sichtbar macht. Sie verbindet die Frage nach verlässlichem Könnensabruf mit den Zuständen, in denen er erlebt wird, mit den Unterschieden in der Art und Weise, wie Menschen Situationen verarbeiten, und mit den Formen von Lernen und Training, die solche Muster fördern. Auf dieser Basis wird die Prime-Flow-Trainingsarchitektur entwickelt. Sie beschreibt, wie Erwerb, Üben und Performen aufeinander aufbauen, welche Rollen schnelle und langsamere Verarbeitungswege einnehmen, wie individuelle Präferenzen im schnellen Modus berücksichtigt werden können und wie sich Aufmerksamkeits- und Vigilanzprozesse in anspruchsvollen Situationen gestalten lassen.</w:t>
      </w:r>
    </w:p>
    <w:p w:rsidR="00000000" w:rsidDel="00000000" w:rsidP="00000000" w:rsidRDefault="00000000" w:rsidRPr="00000000" w14:paraId="00000017">
      <w:pPr>
        <w:spacing w:after="240" w:before="240" w:lineRule="auto"/>
        <w:rPr/>
      </w:pPr>
      <w:r w:rsidDel="00000000" w:rsidR="00000000" w:rsidRPr="00000000">
        <w:rPr>
          <w:rtl w:val="0"/>
        </w:rPr>
        <w:t xml:space="preserve">Im Schlussteil von Teil II werden die Konsequenzen für andere professionelle Felder sichtbar. Die Überlegungen werden mit Professionalisierungsdiskussionen in Beratung, Bildung, Führung, Medizin und weiteren Tätigkeitsbereichen verschränkt. Damit wird der theoretische Rahmen gelegt, auf den Teil III aufsetzt, wenn es darum geht, die Prime-Flow-Trainingsarchitektur für konkrete berufliche Situationen fruchtbar zu machen und zu zeigen, wie Prime-Flow-Zustände im Alltag vorbereitet, gepflegt und weiterentwickelt werden können.</w:t>
      </w:r>
    </w:p>
    <w:p w:rsidR="00000000" w:rsidDel="00000000" w:rsidP="00000000" w:rsidRDefault="00000000" w:rsidRPr="00000000" w14:paraId="00000018">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