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before="180" w:lineRule="auto"/>
        <w:jc w:val="center"/>
        <w:rPr/>
      </w:pPr>
      <w:r w:rsidDel="00000000" w:rsidR="00000000" w:rsidRPr="00000000">
        <w:rPr>
          <w:rtl w:val="0"/>
        </w:rPr>
        <w:t xml:space="preserve">Einleitung V0.7</w:t>
      </w:r>
    </w:p>
    <w:p w:rsidR="00000000" w:rsidDel="00000000" w:rsidP="00000000" w:rsidRDefault="00000000" w:rsidRPr="00000000" w14:paraId="00000002">
      <w:pPr>
        <w:pStyle w:val="Title"/>
        <w:spacing w:after="180" w:before="180" w:lineRule="auto"/>
        <w:rPr/>
      </w:pPr>
      <w:bookmarkStart w:colFirst="0" w:colLast="0" w:name="_kheidiooixti" w:id="0"/>
      <w:bookmarkEnd w:id="0"/>
      <w:r w:rsidDel="00000000" w:rsidR="00000000" w:rsidRPr="00000000">
        <w:rPr>
          <w:rtl w:val="0"/>
        </w:rPr>
        <w:t xml:space="preserve">Einleitung: Fähigkeiten abrufen, wenn es zählt </w:t>
      </w:r>
    </w:p>
    <w:p w:rsidR="00000000" w:rsidDel="00000000" w:rsidP="00000000" w:rsidRDefault="00000000" w:rsidRPr="00000000" w14:paraId="00000003">
      <w:pPr>
        <w:pStyle w:val="Subtitle"/>
        <w:spacing w:after="180" w:before="180" w:lineRule="auto"/>
        <w:rPr/>
      </w:pPr>
      <w:bookmarkStart w:colFirst="0" w:colLast="0" w:name="_g7d77fsokrbq" w:id="1"/>
      <w:bookmarkEnd w:id="1"/>
      <w:r w:rsidDel="00000000" w:rsidR="00000000" w:rsidRPr="00000000">
        <w:rPr>
          <w:rtl w:val="0"/>
        </w:rPr>
        <w:t xml:space="preserve">Was wir von den Besten aus dem Spitzensport lernen können</w:t>
      </w:r>
    </w:p>
    <w:p w:rsidR="00000000" w:rsidDel="00000000" w:rsidP="00000000" w:rsidRDefault="00000000" w:rsidRPr="00000000" w14:paraId="00000004">
      <w:pPr>
        <w:spacing w:after="240" w:before="240" w:lineRule="auto"/>
        <w:rPr/>
      </w:pPr>
      <w:r w:rsidDel="00000000" w:rsidR="00000000" w:rsidRPr="00000000">
        <w:rPr>
          <w:rtl w:val="0"/>
        </w:rPr>
        <w:t xml:space="preserve">Mikaela Shiffrin gewinnt nach einer schweren Verletzung schon im vierten Rennen wieder – so, als wäre nichts gewesen. Kurz darauf fährt sie ihren hundertsten Weltcupsieg ein. Lionel Messi führt 2022 in einem denkwürdigen WM-Final seine argentinische Nationalmannschaft zu einer herausragenden Leistung, ist bei allen Toren direkt beteiligt. Roger Federer kehrt nach langer Verletzungspause zurück, gewinnt gleich das erste Turnier und überrascht alle mit veränderter Schlagtechnik und einer radikal offensiven Spielanlage. Novak Djokovic steht bei Matchball gegen sich und spielt dem Gegner den Ball trotzdem kompromisslos um die Ohren. Marco Odermatt findet im zweiten Lauf eines Rennens genau die richtige Mischung zwischen Vorsicht und Risiko, nachdem viele seiner Konkurrenten dem Druck nicht standgehalten und mit Fehlern ausgeschieden oder zu viel Zeit verloren haben. Und Aitana Bonmatí wählt in einer der letzten Torchancen eines Spiels genau die richtige Option und erwischt die Torhüterin gekonnt auf dem falschen Fuss.</w:t>
      </w:r>
    </w:p>
    <w:p w:rsidR="00000000" w:rsidDel="00000000" w:rsidP="00000000" w:rsidRDefault="00000000" w:rsidRPr="00000000" w14:paraId="00000005">
      <w:pPr>
        <w:spacing w:after="240" w:before="240" w:lineRule="auto"/>
        <w:rPr/>
      </w:pPr>
      <w:r w:rsidDel="00000000" w:rsidR="00000000" w:rsidRPr="00000000">
        <w:rPr>
          <w:rtl w:val="0"/>
        </w:rPr>
        <w:t xml:space="preserve">Sie alle sind nicht „nur“ herausragende Athlet:innen. Sie verfügen über eine Fähigkeit, die von aussen oft wie ein Rätsel wirkt: Sie sind da, wenn es darauf ankommt. Sie können ihr Potenzial unter Druck abrufen – nicht immer, aber auffallend häufig in den Momenten, in denen kleine Entscheidungen den grossen Unterschied ausmachen: zwischen Turniersieg und Niederlage, zwischen Gold und Silber, zwischen Ruhm und Mittelmass.</w:t>
      </w:r>
    </w:p>
    <w:p w:rsidR="00000000" w:rsidDel="00000000" w:rsidP="00000000" w:rsidRDefault="00000000" w:rsidRPr="00000000" w14:paraId="00000006">
      <w:pPr>
        <w:spacing w:after="240" w:before="240" w:lineRule="auto"/>
        <w:rPr/>
      </w:pPr>
      <w:r w:rsidDel="00000000" w:rsidR="00000000" w:rsidRPr="00000000">
        <w:rPr>
          <w:rtl w:val="0"/>
        </w:rPr>
        <w:t xml:space="preserve">Sportler:innen sprechen über solche Momente gern von Flow: wenn im Basketball jeder Wurf sitzt, wenn im Tennis die Bälle die richtige Länge und Härte haben, wenn sich ein Lauf einstellt, in dem alles mühelos gelingt oder eine Athletin über sich hinauswächst. In den letzten Jahren hat sich im Sport ein breites Feld von Mentaltraining und Performance-Coaching etabliert, mit genau dem Ziel, dass Athlet:innen ihr volles Potenzial abrufen können, wenn es darauf ankommt. Diese Entwicklung ist wertvoll und sinnvoll. Das in diesem Buch vorgestellte Modell setzt genau hier an und greift zugleich tiefer: Es untersucht und beschreibt Hochleistung mit Blick auf den gesamten Prozess, vom Training bis hin zum Wettkampf, und stellt diesen Prozess erstmals als zusammenhängende Trainingsarchitektur von Prime Flow da</w:t>
      </w:r>
    </w:p>
    <w:p w:rsidR="00000000" w:rsidDel="00000000" w:rsidP="00000000" w:rsidRDefault="00000000" w:rsidRPr="00000000" w14:paraId="00000007">
      <w:pPr>
        <w:spacing w:after="240" w:before="240" w:lineRule="auto"/>
        <w:rPr/>
      </w:pPr>
      <w:r w:rsidDel="00000000" w:rsidR="00000000" w:rsidRPr="00000000">
        <w:rPr>
          <w:rtl w:val="0"/>
        </w:rPr>
        <w:t xml:space="preserve">Im Sport wird für solche Zustände häufig der Begriff </w:t>
      </w:r>
      <w:r w:rsidDel="00000000" w:rsidR="00000000" w:rsidRPr="00000000">
        <w:rPr>
          <w:i w:val="1"/>
          <w:iCs w:val="1"/>
          <w:rtl w:val="0"/>
        </w:rPr>
        <w:t xml:space="preserve">Flow</w:t>
      </w:r>
      <w:r w:rsidDel="00000000" w:rsidR="00000000" w:rsidRPr="00000000">
        <w:rPr>
          <w:rtl w:val="0"/>
        </w:rPr>
        <w:t xml:space="preserve"> verwendet. Teams „kommen ins Rollen“, Spielerinnen „sind im Flow“, ein Torhüter „wächst über sich hinaus“. Parallel dazu hat sich ein breites Feld von Mentaltraining und Performance-Coaching etabliert, dessen Ziel es ist, „das Potenzial abzurufen, wenn es darauf ankommt“. Diese Entwicklung ist wertvoll – doch sie greift aus Sicht dieses Buches an wichtigen Stellen zu kurz.</w:t>
      </w:r>
    </w:p>
    <w:p w:rsidR="00000000" w:rsidDel="00000000" w:rsidP="00000000" w:rsidRDefault="00000000" w:rsidRPr="00000000" w14:paraId="00000008">
      <w:pPr>
        <w:spacing w:after="240" w:before="240" w:lineRule="auto"/>
        <w:rPr/>
      </w:pPr>
      <w:r w:rsidDel="00000000" w:rsidR="00000000" w:rsidRPr="00000000">
        <w:rPr>
          <w:rtl w:val="0"/>
        </w:rPr>
        <w:t xml:space="preserve">Die Analysen, die ich in den folgenden Kapiteln vorstelle, führen zu vier zentralen Einsichten:</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b w:val="1"/>
          <w:bCs w:val="1"/>
          <w:rtl w:val="0"/>
        </w:rPr>
        <w:t xml:space="preserve">Flow ist nicht gleich Flow.</w:t>
        <w:br w:type="textWrapping"/>
      </w:r>
      <w:r w:rsidDel="00000000" w:rsidR="00000000" w:rsidRPr="00000000">
        <w:rPr>
          <w:rtl w:val="0"/>
        </w:rPr>
        <w:t xml:space="preserve"> Unter dem einen Wort „Flow“ werden sehr unterschiedliche Zustände zusammengefasst: Alltagsfluss ohne grossen Druck, seltene Ausnahmemomente, aber auch professionell trainierte Höchstleistung, die sich leichter anfühlt, als sie objektiv ist. Erst eine präzise Differenzierung führt zu dem Konzept, das für dieses Buch entscheidend ist: </w:t>
      </w:r>
      <w:r w:rsidDel="00000000" w:rsidR="00000000" w:rsidRPr="00000000">
        <w:rPr>
          <w:i w:val="1"/>
          <w:iCs w:val="1"/>
          <w:rtl w:val="0"/>
        </w:rPr>
        <w:t xml:space="preserve">Prime Flow</w:t>
      </w:r>
      <w:r w:rsidDel="00000000" w:rsidR="00000000" w:rsidRPr="00000000">
        <w:rPr>
          <w:rtl w:val="0"/>
        </w:rPr>
        <w:t xml:space="preserve"> – jene Form von Flow, die unter realen Anforderungen trainierbar und verlässlich abrufbar ist.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Prime Flow ist trainierbar – aber nur mit der passenden Architektur.</w:t>
        <w:br w:type="textWrapping"/>
      </w:r>
      <w:r w:rsidDel="00000000" w:rsidR="00000000" w:rsidRPr="00000000">
        <w:rPr>
          <w:rtl w:val="0"/>
        </w:rPr>
        <w:t xml:space="preserve"> Es genügt nicht, „mehr zu üben“ oder „besser zu visualisieren“. Prime Flow entsteht, wenn Training entlang einer inneren Architektur gestaltet ist, die darauf ausgerichtet ist, schnelles, körperlich-emotionales Handeln, langsames Denken und metareflexive Selbstbeobachtung systematisch aufeinander abzustimmen.</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Training wird effektiver, wenn es Präferenzen berücksichtigt.</w:t>
        <w:br w:type="textWrapping"/>
      </w:r>
      <w:r w:rsidDel="00000000" w:rsidR="00000000" w:rsidRPr="00000000">
        <w:rPr>
          <w:rtl w:val="0"/>
        </w:rPr>
        <w:t xml:space="preserve"> Menschen unterscheiden sich darin, wie ihr schneller Modus – ihr System 1 – Situationen spontan liest: eher entlang einer lateralen Achse (Feld, Ordnung, Sicherheit), einer frontalen Achse (Weg, Zugriff, Konfrontation) oder einer vertikalen Achse (Bedeutung, Überblick, Entwicklung). Trainingsprozesse, die diese Präferenzachsen ignorieren und alle gleich behandeln, verschenken Potenzial – und produzieren im schlimmsten Fall genau jene Blockaden, die sie vermeiden wollen.</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Die Mechanismen hinter Prime Flow sind auf andere Felder übertragbar.</w:t>
        <w:br w:type="textWrapping"/>
      </w:r>
      <w:r w:rsidDel="00000000" w:rsidR="00000000" w:rsidRPr="00000000">
        <w:rPr>
          <w:rtl w:val="0"/>
        </w:rPr>
        <w:t xml:space="preserve"> Was Spitzensportler:innen auf höchstem Niveau tun, um unter Druck handlungsfähig zu bleiben, ist kein exotischer Sonderfall. Die zugrunde liegende Architektur lässt sich auf professionelle Kontexte übertragen, in denen es ähnlich „eng“ wird: Führung, Unterricht, Medizin, Coaching, Kunst, Medien – überall dort, wo Menschen vor anderen leisten, entscheiden und auftreten.</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Dieses Buch versucht, diese Einsichten in eine zusammenhängende Sichtweise zu bringen. Es verbindet verhaltensökonomische Perspektiven, motivationspsychologische Konzepte, Erkenntnisse aus der kognitiven Leistungsforschung, sportpsychologische Flow-Forschung und Ansätze zur Selbst- und Stressregulation zu einem Gesamtbild: einer Trainingsarchitektur von </w:t>
      </w:r>
      <w:r w:rsidDel="00000000" w:rsidR="00000000" w:rsidRPr="00000000">
        <w:rPr>
          <w:i w:val="1"/>
          <w:iCs w:val="1"/>
          <w:rtl w:val="0"/>
        </w:rPr>
        <w:t xml:space="preserve">Prime Flow</w:t>
      </w:r>
      <w:r w:rsidDel="00000000" w:rsidR="00000000" w:rsidRPr="00000000">
        <w:rPr>
          <w:rtl w:val="0"/>
        </w:rPr>
        <w:t xml:space="preserve">, die sowohl theoretisch fundiert als auch praktisch anwendbar ist.</w:t>
      </w:r>
    </w:p>
    <w:p w:rsidR="00000000" w:rsidDel="00000000" w:rsidP="00000000" w:rsidRDefault="00000000" w:rsidRPr="00000000" w14:paraId="0000000E">
      <w:pPr>
        <w:spacing w:after="240" w:before="240" w:lineRule="auto"/>
        <w:rPr/>
      </w:pPr>
      <w:r w:rsidDel="00000000" w:rsidR="00000000" w:rsidRPr="00000000">
        <w:rPr>
          <w:rtl w:val="0"/>
        </w:rPr>
        <w:t xml:space="preserve">Im ersten Teil des Buches schaue ich dafür in das Feld, in dem diese Dynamik besonders sichtbar und gut dokumentiert ist: den Spitzensport. Anhand konkreter Szenen – etwa aus dem Fussball, Tennis oder anderen Hochleistungsdisziplinen – wird deutlich, wie Prime Flow aussieht, wie er sich von anderen Flow-Erlebnissen unterscheidet und welche Rolle Vorbereitung, Routinen, Präferenzachsen und Selbstbeobachtung spielen. Im zweiten Teil wird diese Praxislinse theoretisch unterfüttert: mit einer Prozessarchitektur, die drei Verhaltenssysteme und drei Präferenzachsen zu einem Doppel-Trias-Modell verbindet. Im dritten Teil geht es um die Übertragung: darum, wie sich die Prinzipien aus dem Spitzensport auf Führung, Coaching, Unterricht, Kunst und andere professionelle Kontexte anwenden lassen.</w:t>
      </w:r>
    </w:p>
    <w:p w:rsidR="00000000" w:rsidDel="00000000" w:rsidP="00000000" w:rsidRDefault="00000000" w:rsidRPr="00000000" w14:paraId="0000000F">
      <w:pPr>
        <w:spacing w:after="240" w:before="240" w:lineRule="auto"/>
        <w:rPr/>
      </w:pPr>
      <w:r w:rsidDel="00000000" w:rsidR="00000000" w:rsidRPr="00000000">
        <w:rPr>
          <w:rtl w:val="0"/>
        </w:rPr>
        <w:t xml:space="preserve">Wenn Sie den Sport nicht nur als Unterhaltung erleben, sondern als etwas, das Sie seltsam berührt, ist dieses Buch auch für Sie geschrieben. Es geht um die Frage, wie Menschen ihr Potenzial so entwickeln und organisieren können, dass es dann zur Verfügung steht, wenn es wirklich zählt – im Stadion, im Seminarraum, im Operationssaal, auf der Bühne oder im Besprechungszimmer.</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headerReference r:id="rId6" w:type="default"/>
      <w:foot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